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-октябрь</w:t>
            </w:r>
            <w:br/>
            <w:br/>
            <w:r>
              <w:rPr/>
              <w:t xml:space="preserve">Обезвреживание невзорвавшихся взрывоопасных предметов в районе г.Парачин (Республика Сербия).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Обезвреживание невзорвавшихся взрывоопасных предметов на территорииГУП госхоз «Заря» Грозненского района Чеченской Республики.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Оперативная группа в черте г. Волгограда провела подводныепиротехнические работы в русле реки Волги.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Оперативная группа в г. Волгограде провела работы по дезактивациитерритории складов длительного хранения в/ч 86631.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Оперативная группа в республике Хакасия учувствовала в ликвидациипоследствий аварии на Саяно-Шушенской ГЭС.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- обеспечение ввода основных сил и средств Центра привлекаемого научения КСОР ОДКБ, проводимого в Республике Казахстан;</w:t>
            </w:r>
            <w:br/>
            <w:br/>
            <w:r>
              <w:rPr/>
              <w:t xml:space="preserve">- очистка посевных площадей от взрывоопасных предметов в Чеченскойреспублике.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2026-09-07T13:44:09+03:00</dcterms:created>
  <dcterms:modified xsi:type="dcterms:W3CDTF">2026-09-07T13:44:09+03:00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