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личныйсостав Центра «Лидер» принял участие в дне донора, организованнойсовместно с ФГБУ «3 Центральный военный клинический госпиталь им.А.А. Вишневского» Министерства обороны Российской Федерации.Основной целью акции стала пропаганда безвозмездного донорствакрови и увеличение банка донорской крови военного клиническогогоспиталя.</w:t>
            </w:r>
            <w:br/>
            <w:br/>
            <w:r>
              <w:rPr/>
              <w:t xml:space="preserve">Подобное мероприятие в Центре проходит не первый раз. Этоблагородное дело для коллектива Центра уже стало традицией. Передначалом процедуры сотрудники проходят медицинское экспрессобследование. При отсутствии противопоказаний, каждый из нихдопускается к сдаче крови.</w:t>
            </w:r>
            <w:br/>
            <w:br/>
            <w:r>
              <w:rPr/>
              <w:t xml:space="preserve">Специалисты военного клинического госпиталя выразили искреннююблагодарность всем, кто откликнулся и подарил самое ценное –надежду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2026-06-17T14:00:02+03:00</dcterms:created>
  <dcterms:modified xsi:type="dcterms:W3CDTF">2026-06-17T14:00:02+03:00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