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Штабная тренировка по 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02.10.202515:10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Штабная тренировка по гражданской 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вначале октября, в преддверии Дня гражданской обороны, проводитсяштабная тренировка по гражданской обороне. Она позволяет достичьвысоких показателей и эффективности системы мероприятий пообеспечению национальной безопасности. Все это приобретает особуюактуальность в настоящее время.</w:t>
            </w:r>
            <w:br/>
            <w:br/>
            <w:r>
              <w:rPr/>
              <w:t xml:space="preserve">С 1 октября личный состав Центра по проведению спасательныхопераций особого риска «Лидер» принимает участие в штабнойтренировке по гражданской обороне. </w:t>
            </w:r>
            <w:br/>
            <w:br/>
            <w:r>
              <w:rPr/>
              <w:t xml:space="preserve">Осуществлен комплекс мероприятий, в ходе которых была проведенапроверка готовности систем связи, оповещения и сбора личногосостава. Спасатели Центра провели занятие по специальнойобработке техники, выполнявшей задачи в зоне радиационногозагрязнения. Была выполнена дезактивация техники двухстадийнымспособом, а также осуществлена санитарнаяобработка личного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2026-01-16T08:14:51+03:00</dcterms:created>
  <dcterms:modified xsi:type="dcterms:W3CDTF">2026-01-16T08:14:51+03:00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