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июля сличным составом Центра проведено информирование. Была представленаинформация по статье 160.1 Бюджетного кодекса РФ, регламентирующейвопросы, связанные с платежами по финансово-экономическойдеятельности и их квитированию.</w:t>
            </w:r>
            <w:br/>
            <w:br/>
            <w:r>
              <w:rPr/>
              <w:t xml:space="preserve">Также доведены важные изменения и разъяснены ключевые изменения впостановлении Правительства РФ от 9 апреля 2025 г. №464 «Оповышении денежного довольствия военнослужащих и сотрудниковнекоторых федеральных органов исполнительной власти»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2026-03-04T05:13:24+03:00</dcterms:created>
  <dcterms:modified xsi:type="dcterms:W3CDTF">2026-03-04T05:13:24+03:00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