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 праздничныхмероприятиях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 праздничных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80-летия Победы в Великой Отечественной войне1941-1945 годов, личный состав Центра участвует в праздничныхмероприятиях.</w:t>
            </w:r>
            <w:br/>
            <w:br/>
            <w:r>
              <w:rPr/>
              <w:t xml:space="preserve">В ходе утреннего построения проведена патриотическая акция"Бессмертный полк МЧС России", в одном строю со спасателями стоялипортреты родственников сотрудников Центра победивших фашизм.</w:t>
            </w:r>
            <w:br/>
            <w:br/>
            <w:r>
              <w:rPr/>
              <w:t xml:space="preserve">В культурно-досуговом центре был организован просмотр прямого эфираПарада Победы на Красной Площади. В числе музыкантов сводногооркестра представлены военнослужащие Центра "Лидер".</w:t>
            </w:r>
            <w:br/>
            <w:br/>
            <w:r>
              <w:rPr/>
              <w:t xml:space="preserve">В поселении Мосрентген, совместно с представителями воинских частеймосковского гарнизона и местных органов управления, спасателивозложили венки и цветы к монументу Защитников Отечества павших вВеликой Отечественной 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