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 место по 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 место по  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Все команды оказалисьдостаточно сильными. Болельщики активно поддерживали своих коллег,вселяя им веру в победу. Свой серьезный настрой волейболисты«Лидера» продемонстрировали с первой игры. Финальные встречибыли особенно зрелищными. Никто не хотел уступать. Проявивхарактер, показав сплоченность и неугасаемую волю к победе, втрудной и упорной борьбе команда Центра взяла бронзусоревнований! 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