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 праздничном концерте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 праздничном концерте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личный состав Центра побывална торжественном мероприятии в Академии гражданскойзащиты МЧС России, на котором чествовали военнослужащих, ветеранови сотрудников ведомства.</w:t>
            </w:r>
            <w:br/>
            <w:br/>
            <w:r>
              <w:rPr/>
              <w:t xml:space="preserve">Заместитель Министра МЧС России Илья Денисов передал поздравлениеот имени главы ведомства Александра Куренкова. Особые словаблагодарности были адресованы ветеранам ведомства, чей опыт изакалка служат примером для молодого поколения.</w:t>
            </w:r>
            <w:br/>
            <w:br/>
            <w:r>
              <w:rPr/>
              <w:t xml:space="preserve">На сцене большого актового зала Академии выступил показательныйоркестр МЧС России. Зрители услышали произведения «От победы кПобеде», «Моя страна», «Моя Россия», «Русский характер», «Пропавшибез вести» и многое другое. Завершился концерт неофициальным гимномМЧС России — «Песня о тревожной молодости», которая сталасимволичным финалом торжественного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2026-04-09T22:24:32+03:00</dcterms:created>
  <dcterms:modified xsi:type="dcterms:W3CDTF">2026-04-09T22:24:32+03:00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