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сличным составом Центра было проведено правовоеинформирование на тему: «Организация представления сведений одоходах, расходах, об имуществе и обязательствах имущественногохарактера в 2025 году, изучение программного обеспечения СправкиБК, основные недостатки, выявленные в ходе декларационной кампании2024 года». Занятие провел советник отдела профилактической работыв области коррупционных и иных правонарушений Департамента кадровойполитики МЧС России Макарьев О.В.</w:t>
            </w:r>
            <w:br/>
            <w:br/>
            <w:r>
              <w:rPr/>
              <w:t xml:space="preserve">Личному составу Центрабыли доведены правовые аспектыи нормативно-правовая база, которой руководствуютсясотрудники МЧС России, обязанности и права, необходимые дляэффективной работы. Занятие было проведено на высокомметодическом уровне.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2026-03-04T15:48:38+03:00</dcterms:created>
  <dcterms:modified xsi:type="dcterms:W3CDTF">2026-03-04T15:48:38+03:00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