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подводных работ в акватории Ладожскогоозера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подводных работ в акватории Ладожского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23июня личный состав специалистов Центра привлекался для проведенияподводных работ (специального) назначения по дообследованию иклассификации взрывоопасных предметов на затонувшем суднеобнаруженным в акватории Ладожского озера.</w:t>
            </w:r>
            <w:br/>
            <w:br/>
            <w:r>
              <w:rPr/>
              <w:t xml:space="preserve">Данное судно полностью загружено от носа до кормы взрывоопаснымипредметами различного калибра (артиллерийские снаряды калибра от 45до 152 мм). Судно находится на глубине 18метров, полностью деревянное и без опознавательных знаков,его длина составляет 55 метров, ширина — 12метров.</w:t>
            </w:r>
            <w:br/>
            <w:br/>
            <w:r>
              <w:rPr/>
              <w:t xml:space="preserve">По итогам работ установлено, что затонувшее судно, расположенное насудоходном пути, представляет собой подводную потенциальнуюопасность для прохода судов.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2026-01-18T07:15:16+03:00</dcterms:created>
  <dcterms:modified xsi:type="dcterms:W3CDTF">2026-01-18T07:15:16+03:00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