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привлекается для проведения подводных работ(специального) назначения по дообследованию и классификациивзрывоопасных предметов на затонувшем судне обнаруженным ООО«Морская геодезия» в акватории Ладожского озераЛенинградской области.</w:t>
            </w:r>
            <w:br/>
            <w:br/>
            <w:r>
              <w:rPr/>
              <w:t xml:space="preserve">Личный состав отряда совместно с экипажем суднаЛенинградской военно-морской базы «РВК-1102» вышел в районзатонувшего судна, где была произведена работа по поиску суднапо предоставленным координатам.</w:t>
            </w:r>
            <w:br/>
            <w:br/>
            <w:r>
              <w:rPr/>
              <w:t xml:space="preserve">Поиск проводился с применением гидролокационного оборудования.По результатам поиска затонувшее судно сналичием большого количества взрывоопасных предметов найдено взаданных координатах. Проведена комплексная работа пообследованию объекта с использованием телеуправляемогонеобитаемого подводного аппарата и водолазного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2026-03-05T09:18:15+03:00</dcterms:created>
  <dcterms:modified xsi:type="dcterms:W3CDTF">2026-03-05T09:18:15+03:00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