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выполняют пиротехнические и водолазныеработы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выполняют пиротехнические и водолазные работы вБалтийском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продолжает проведение работ по предупреждениючрезвычайных ситуаций на подводных потенциально опасных объектах вБалтийском море: мониторинг состояния подводного потенциальноопасного объекта, подъем и уничтожение взрывоопасных предметов,подводные работы на затонувшей самоходной сухогрузной барже навнешнем рейде порта Балтийск.</w:t>
            </w:r>
            <w:br/>
            <w:br/>
            <w:r>
              <w:rPr/>
              <w:t xml:space="preserve">Личный состав отряда совместно с экипажем судна «УМК-В» вышел врайон затонувшей баржи. В ходе выполнения работ нарастающим итогомбыло совершено более 270 спусков длительностью порядка 250 часов,обнаружено свыше 15000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2026-01-19T05:52:03+03:00</dcterms:created>
  <dcterms:modified xsi:type="dcterms:W3CDTF">2026-01-19T05:52:03+03:00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