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продолжают проведение пиротехнических и специальныхводолазных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(далее - ВОП) сзатонувшего судна.</w:t>
            </w:r>
            <w:br/>
            <w:br/>
            <w:r>
              <w:rPr/>
              <w:t xml:space="preserve">24 июня были проведены водолазные работы по поиску и обезвреживаниюВОП на затонувшем судне. Водолазами совершено 14 спусковпродолжительностью 15 часов. За время командировки совершено 220спусков, общая продолжительность которых составила 250 часов 10минут.</w:t>
            </w:r>
            <w:br/>
            <w:br/>
            <w:br/>
            <w:r>
              <w:rPr/>
              <w:t xml:space="preserve">Обнаружено обнаружено 973 ВОП, с нарастающим итогом - 15056ВОП.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2026-04-15T11:40:22+03:00</dcterms:created>
  <dcterms:modified xsi:type="dcterms:W3CDTF">2026-04-15T11:40:22+03:00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