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Продолжаютсяработы по поиску и подъему взрывоопасных предметов с затонувшегосудна. </w:t>
            </w:r>
            <w:br/>
            <w:br/>
            <w:r>
              <w:rPr/>
              <w:t xml:space="preserve">6 июня были проведены водолазные работы по поиску и обезвреживаниювзрывоопасных предметов на затонувшем судне. Было совершено 10спусков продолжительностью 12 часов 00 минут, с нарастающим итогом– 104 спуска продолжительностью 124 часа 10 минут; обнаружено 314ВОП, с нарастающим итогом - 6692 ВОП. </w:t>
            </w:r>
            <w:br/>
            <w:br/>
            <w:r>
              <w:rPr/>
              <w:t xml:space="preserve">Выполнены работы по инструментальному обследованию акваторииБалтийского моря. Была обследована территория площадью 40 га, снарастающим итогом обследована территория площадью 60 га. ВОП необнаружено.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1897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2026-01-22T05:45:59+03:00</dcterms:created>
  <dcterms:modified xsi:type="dcterms:W3CDTF">2026-01-22T05:45:59+03:00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