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Калининградскуюобласть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течение лета водолазы будутучаствовать в разминировании останков немецкой баржи, затопленнойво время Великой Отечественной войны в Балтийском море. Наборту самолета также прибыло оборудование для водолазных спусков иглубоководного мониторинга. </w:t>
            </w:r>
            <w:br/>
            <w:br/>
            <w:r>
              <w:rPr/>
              <w:t xml:space="preserve">Судно покоится на глубине около 17 метров. При этом баржа разорванана две части и занесена илом и песком. А десятиметровый промежутокмежду фрагментами судна покрыт множеством взрывоопасных предметов,подвергшихся сильной коррозии. При этом еще большее количествосмертоносного груза сосредоточено в трюмах.</w:t>
            </w:r>
            <w:br/>
            <w:br/>
            <w:r>
              <w:rPr/>
              <w:t xml:space="preserve">В прошлом году водолазы Центра совершили более 214 глубоководныхспусков, в общей сложности водолазы провели под водой почти 250часов. Со дна моря подняли и уничтожили 9747 боеприпасов.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2025-12-02T17:36:03+03:00</dcterms:created>
  <dcterms:modified xsi:type="dcterms:W3CDTF">2025-12-02T17:36:03+03:00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