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завершены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завершены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в период с 12по 14 апреля привлекались к участию в командно-штабном учении. Вовремя проведения КШУ отрабатывались вопросы по ликвидации ЧС,возникающих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весеннего половодья.</w:t>
            </w:r>
            <w:br/>
            <w:br/>
            <w:r>
              <w:rPr/>
              <w:t xml:space="preserve">Учения проходили в три этапа. На первом этапе личный состав Центрабыл приведен в готовность к реагированию на ЧС в паводкоопасныйпериод и пожароопасный сезон. На втором этапе отрабатывалисьвопросы ликвидации чрезвычайных ситуаций, связанных с паводками ивозможными подтоплениями территорий. На третьем личный составЦентра выполнял комплекс мероприятий по тушению ландшафтныхпожаров.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2026-04-17T23:16:31+03:00</dcterms:created>
  <dcterms:modified xsi:type="dcterms:W3CDTF">2026-04-17T23:16:31+03:00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