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отдела аварийно-спасательных водолазныхработ.Видео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отдела аварийно-спасательных водолазныхработ.Видео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апрелязавершились сборы отдела аварийно-спасательных водолазныхработ. Водолазные спуски совершались в открытой схеме дыхания,в шлеме SuperLite 37, а также в автономном снаряжении. Совершеныучебно-тренировочные спуски в ночное время. Также личным составомотработаны методы и приемы остропки и подъёма подводныхобъектов. За время сборов были проверены и обслужены личныекомплекты водолазного снаряжения.</w:t>
            </w:r>
            <w:br/>
            <w:br/>
            <w:r>
              <w:rPr/>
              <w:t xml:space="preserve">По итогам сборов личным составом отдела было выполнено 147погружений, а общая продолжительность составила 172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2026-04-17T23:15:38+03:00</dcterms:created>
  <dcterms:modified xsi:type="dcterms:W3CDTF">2026-04-17T23:15:38+03:00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