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межведомственным опытно-исследовательскимучениям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межведомственным опытно-исследовательским учениям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подготовку к участию в Межведомственныхопытно-исследовательских учениях по ликвидации ЧС в Арктическойзоне. 6 сентября, под руководством первого заместителя МинистраРоссийской Федерации по делам гражданской обороны, чрезвычайнымситуациям и ликвидации последствий стихийных бедствийгенерал-полковника внутренней службы Чуприяна Александра Петровича,прошла генеральная отработка замысла учений. Напомним, что с 7 и 8сентября маневры будут проводиться в семи регионах России, на нихбудут отработаны 12 сценариев возможных ЧС.</w:t>
            </w:r>
            <w:br/>
            <w:br/>
            <w:r>
              <w:rPr/>
              <w:t xml:space="preserve">В Красноярском крае в г.Норильск специалисты Центра отрабатывалипроведение санитарной обработки пожарных, принимающих участие вликвидации пожара в больнице, в которой находятся гражданезараженные COVID-19.</w:t>
            </w:r>
            <w:br/>
            <w:br/>
            <w:r>
              <w:rPr/>
              <w:t xml:space="preserve">ВИА «Лидер» принял участие в музыкальном сопровождениитоварищеского хоккейного матча. На льду арены «Арктика» встретилиськоманды центрального аппарата МЧС России и сборная командаадминистрации г. Норильска и управленческого аппаратагорно-металлургической компании «Норильский никель». Капитаномведомственной команды стал Первый заместитель Министра МЧС РоссииЧуприян А.П. </w:t>
            </w:r>
            <w:br/>
            <w:br/>
            <w:r>
              <w:rPr/>
              <w:t xml:space="preserve">В Красноярском крае в г.Дудинка специалисты Центра такжеотрабатывали действия согласно замыслу учения. На ледоколе АвраамийЗавенягин организовано проведение радиационно-химической разведки,выставление поста радиационного и химического наблюдениядозиметрического контроля, также радиационно-химическая разведкаосуществлялась с использованием БАС и опытно-конструкторскойразработкой «Шмель». Спасатели-десантники Центра совершили трисброса грузов.</w:t>
            </w:r>
            <w:br/>
            <w:br/>
            <w:r>
              <w:rPr/>
              <w:t xml:space="preserve">Также в учениях применялся теленеобитаемый подводный аппарат(ТНПА). Задачей перед расчётом ТНПА стояла осмотр дна судна наелемент пробоины. С задачей справились успешно, несмотря на сильноетечение реки.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2025-12-03T04:24:58+03:00</dcterms:created>
  <dcterms:modified xsi:type="dcterms:W3CDTF">2025-12-03T04:24:58+03:00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