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личныйсостав Центра продолжил выполнение учебно-тренировочных прыжков наакваторию Рузского водохранилища. Выполнено 22 парашютныхпрыжка.</w:t>
            </w:r>
            <w:br/>
            <w:br/>
            <w:br/>
            <w:br/>
            <w:r>
              <w:rPr/>
              <w:t xml:space="preserve">При выполнении парашютных прыжков на воду спасатели Центраотрабатывают вопрос доставки в зону ЧС на водной акваторииразличных специалистов и спасательных средств.</w:t>
            </w:r>
            <w:br/>
            <w:br/>
            <w:br/>
            <w:r>
              <w:rPr/>
              <w:t xml:space="preserve">Десантирование осуществлялась с высот от 600 до 1200 метров, извоздушного судна АН-2, на скорости 160 км/ч.</w:t>
            </w:r>
            <w:br/>
            <w:br/>
            <w:br/>
            <w:r>
              <w:rPr/>
              <w:t xml:space="preserve">Применены парашютные системы: П-1У, Спирит-Варио и PD Zero.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2025-12-03T07:18:38+03:00</dcterms:created>
  <dcterms:modified xsi:type="dcterms:W3CDTF">2025-12-03T07:18:38+03:00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