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июняводолазные работы по поиску и обезвреживанию взрывоопасныхпредметов на затонувшем судне в акватории Балтийского моря непроводились по причине комплекса неблагоприятных метеоявлений(порывы ветра до </w:t>
            </w:r>
            <w:br/>
            <w:br/>
            <w:r>
              <w:rPr/>
              <w:t xml:space="preserve">15 м/с, высота волны 2 м). </w:t>
            </w:r>
            <w:br/>
            <w:br/>
            <w:r>
              <w:rPr/>
              <w:t xml:space="preserve">С личным составом отряда было проведено занятие по водолазнойподготовке, организовано обслуживание снаряжения и оборудования,спортивно-массовая работа.</w:t>
            </w:r>
            <w:br/>
            <w:br/>
            <w:r>
              <w:rPr/>
              <w:t xml:space="preserve">Пиротехническим расчетом проведено обследование прибрежнойтерритории. Обследована территория 0,3 га (с нарастающим итогом –3,76 га). Обнаружено 68 ВОП (с нарастающим итогом – 424ВОП). 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149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2026-06-12T19:55:29+03:00</dcterms:created>
  <dcterms:modified xsi:type="dcterms:W3CDTF">2026-06-12T19:55:29+03:00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