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работыпо поиску и обезвреживанию взрывоопасных предметов в акваторииБалтийского моря не проводились по причине неблагоприятныхметеоявлений (высота волны 1 – 1,5 м, порывы ветра до 8 м/с).Личным составом отряда было произведено обслуживание снаряжения,организована экскурсия в музей Балтийского флота.</w:t>
            </w:r>
            <w:br/>
            <w:br/>
            <w:br/>
            <w:r>
              <w:rPr/>
              <w:t xml:space="preserve">Пиротехническим расчетом Ногинского СЦ совместно со специалистамиНевского СЦ были проведены пиротехнические работы на прибрежнойтерритории. Обследована территория 0,16 га (с нарастающим итогом –1,73 га). Обнаружено 12 ВОП (с нарастающим итогом – 146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438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2026-04-08T01:09:58+03:00</dcterms:created>
  <dcterms:modified xsi:type="dcterms:W3CDTF">2026-04-08T01:09:58+03:00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