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ДняПобеды во многих организациях и учреждениях МЧС России проходятпраздничные мероприятия. В Центре «Лидер» 6 мая состоялосьторжественное построение личного состава в честь празднования 76-йгодовщины победы в Великой Отечественной войне. На немприсутствовали руководство Центра, военнослужащие и гражданскийперсонал.</w:t>
            </w:r>
            <w:br/>
            <w:br/>
            <w:r>
              <w:rPr/>
              <w:t xml:space="preserve">Под звуки военного оркестра Центра было внесено Боевое знамя Центраи флаг Российской Федерации, после чего торжественное мероприятиебыло объявлено открытым.</w:t>
            </w:r>
            <w:br/>
            <w:br/>
            <w:r>
              <w:rPr/>
              <w:t xml:space="preserve">С приветственным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Также личный составпоздравил главный специалист ГО Васильчиков В.В.</w:t>
            </w:r>
            <w:br/>
            <w:br/>
            <w:r>
              <w:rPr/>
              <w:t xml:space="preserve">На построении были вручены очередные воинские звания, грамоты иобъявлены благодарности. Завершилось построение прохождениемторжественным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2025-11-11T01:43:58+03:00</dcterms:created>
  <dcterms:modified xsi:type="dcterms:W3CDTF">2025-11-11T01:43:58+03:00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