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воздушно-десантнойподготовке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завершилось обучение по воздушно-десантной подготовке.Военнослужащие сдавали теоретическую и практическую часть.</w:t>
            </w:r>
            <w:br/>
            <w:br/>
            <w:r>
              <w:rPr/>
              <w:t xml:space="preserve">Сначала военнослужащие отвечали на экзаменационные билеты поматериальной части людских десантных парашютов. После успешнойсдачи теории, перешли к практике.</w:t>
            </w:r>
            <w:br/>
            <w:br/>
            <w:r>
              <w:rPr/>
              <w:t xml:space="preserve">На специально оборудованном парашютном городке сотрудники Центрасдавали норматив №4 по наземной отработке элементов прыжка спарашютом. Этапы отделения, падения, раскрытия, парашютирования иприземления военнослужащие обязаны отработать доавтоматизма. Также в экзамен входила укладка десантныхпарашютов Д-6 сер.4 и З-5 на время. Оценивалась правильностькаждого этапа укладки, подгонка подвесной системы и оформлениедокументов.</w:t>
            </w:r>
            <w:br/>
            <w:br/>
            <w:r>
              <w:rPr/>
              <w:t xml:space="preserve">Военнослужащие успешно сдали комплексный экзамен.  Теперь ихждет самый главный этап - совершение первого прыжка спарашютом.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