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и специальных водолазных работ наакватории Балтийского моря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19.08.202019:08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и специальных водолазных работ наакватории Балтийского моря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Водолазныеспециалисты Центра продолжают работу на акватории Балтийскогоморя.</w:t>
            </w:r>
            <w:br/>
            <w:br/>
            <w:r>
              <w:rPr/>
              <w:t xml:space="preserve">19 августа проведены работы по поиску и подъему взрывоопасныхпредметов (далее - ВОП) с затонувшего судна. Выполнено 5 спусковобщей продолжительностью 6 часов (с нарастающим итогом – 41 спускаобщей продолжительностью 62 часов).</w:t>
            </w:r>
            <w:br/>
            <w:br/>
            <w:r>
              <w:rPr/>
              <w:t xml:space="preserve">К проведению работ привлекались 12 специалистов ФГКУ «ЦСООР«Лидер», 16 специалистов Балтийского поисково-спасательного отрядаи 4 единицы плавательных средств.</w:t>
            </w:r>
            <w:br/>
            <w:br/>
            <w:r>
              <w:rPr/>
              <w:t xml:space="preserve">Обнаружено и поднято с затонувшего судна 184 ВОП.  Нарастающимитогом 1 029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2026-10-08T00:38:53+03:00</dcterms:created>
  <dcterms:modified xsi:type="dcterms:W3CDTF">2026-10-08T00:38:53+03:00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