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навыков применения робототехническихсредств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навыков применения робототехнических средств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августа2020 года управление робототехнических средств отрабатывало вопросыреагирования на чрезвычайные ситуации, с практическим применениемробототехнических средств.</w:t>
            </w:r>
            <w:br/>
            <w:br/>
            <w:r>
              <w:rPr/>
              <w:t xml:space="preserve">В ходе занятия комплексно отработаны вопросы погрузкироботехнических средств (далее - РТС) БРОК-800 и БРОК-330 наавтомобильную технику, совершения марша, деблокированияпострадавших из-под завалов, а также работ по поднятию и переносужелезобетонных конструкций завала с использованием РТС.</w:t>
            </w:r>
            <w:br/>
            <w:br/>
            <w:r>
              <w:rPr/>
              <w:t xml:space="preserve">Цели и задачи тренировки 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2026-05-27T18:20:26+03:00</dcterms:created>
  <dcterms:modified xsi:type="dcterms:W3CDTF">2026-05-27T18:20:26+03:00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