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Специалисты-водолазы Центра продолжают проведение пиротехнических испециальных водолазных работ на акватории Балтийского моря.</w:t>
            </w:r>
            <w:br/>
            <w:br/>
            <w:r>
              <w:rPr/>
              <w:t xml:space="preserve">18 августа проведены работы по поиску и подъему взрывоопасныхпредметов с затонувшего судна. Было выполнено 12 спусков общейпродолжительностью 19 часов (с нарастающим итогом – 36 спуска общейпродолжительностью 56 часов). К проведению работ привлекались 12специалистов ФГКУ «ЦСООР «Лидер», 12 специалистов Балтийскогопоисково-спасательного отряда и 3 единицы плавательных средств.</w:t>
            </w:r>
            <w:br/>
            <w:br/>
            <w:r>
              <w:rPr/>
              <w:t xml:space="preserve">Обнаружено и поднято с затонувшего судна 478 взрывоопасныхпредмета.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2025-11-08T19:26:18+03:00</dcterms:created>
  <dcterms:modified xsi:type="dcterms:W3CDTF">2025-11-08T19:26:18+03:00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