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18,24 га (182400 м2).</w:t>
            </w:r>
            <w:br/>
            <w:br/>
            <w:r>
              <w:rPr/>
              <w:t xml:space="preserve">Всего обнаружено 387 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 га (15000 м2).</w:t>
            </w:r>
            <w:br/>
            <w:br/>
            <w:r>
              <w:rPr/>
              <w:t xml:space="preserve">С нарастающим итогом обследована территория общей площадью 17,8 га(178600 м2).</w:t>
            </w:r>
            <w:br/>
            <w:br/>
            <w:r>
              <w:rPr/>
              <w:t xml:space="preserve">Всего обнаружено 361 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2026-07-11T20:52:34+03:00</dcterms:created>
  <dcterms:modified xsi:type="dcterms:W3CDTF">2026-07-11T20:52:34+03:00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