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18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 С нарастающим итогомобследована территория общей площадью 14,3 га (143000 м2).</w:t>
            </w:r>
            <w:br/>
            <w:br/>
            <w:r>
              <w:rPr/>
              <w:t xml:space="preserve">Всего обнаружено 269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0,81 га (8100 м2).</w:t>
            </w:r>
            <w:br/>
            <w:br/>
            <w:r>
              <w:rPr/>
              <w:t xml:space="preserve">С нарастающим итогом обследована территория общей площадью 13,47 га(134700 м2).</w:t>
            </w:r>
            <w:br/>
            <w:br/>
            <w:r>
              <w:rPr/>
              <w:t xml:space="preserve">Всего обнаружено 259 взрывоопасных предметов.</w:t>
            </w:r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2026-07-11T19:59:09+03:00</dcterms:created>
  <dcterms:modified xsi:type="dcterms:W3CDTF">2026-07-11T19:59:09+03:00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