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га).</w:t>
            </w:r>
            <w:br/>
            <w:br/>
            <w:r>
              <w:rPr/>
              <w:t xml:space="preserve">пиротехнической группой проведена очистка местности общейплощадью 4900 м2 (0,49 га), обнаружено и обезврежено 6взрывоопасных предметов:</w:t>
            </w:r>
            <w:br/>
            <w:br/>
            <w:r>
              <w:rPr/>
              <w:t xml:space="preserve">осколочная граната ВОГ-17 – 2 шт.;</w:t>
            </w:r>
            <w:br/>
            <w:br/>
            <w:r>
              <w:rPr/>
              <w:t xml:space="preserve">ручная граната Ф-1 – 2 шт.;</w:t>
            </w:r>
            <w:br/>
            <w:br/>
            <w:r>
              <w:rPr/>
              <w:t xml:space="preserve">ручная граната РГД-5 – 1 шт.;</w:t>
            </w:r>
            <w:br/>
            <w:br/>
            <w:r>
              <w:rPr/>
              <w:t xml:space="preserve">артиллерийский снаряд 14,5 мм-БЗТ –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275 750м2 (27,57 га) и всего обнаружено 286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2025-12-03T15:52:50+03:00</dcterms:created>
  <dcterms:modified xsi:type="dcterms:W3CDTF">2025-12-03T15:52:50+03:00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