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</w:t>
            </w:r>
            <w:br/>
            <w:br/>
            <w:r>
              <w:rPr/>
              <w:t xml:space="preserve">пиротехнической группой проведена очистка местности общейплощадью 1350 м2 (0,13 га), обнаружено и обезврежено 7взрывоопасных предметов:</w:t>
            </w:r>
            <w:br/>
            <w:br/>
            <w:r>
              <w:rPr/>
              <w:t xml:space="preserve">ручная граната РГД-5 – 2 шт.,</w:t>
            </w:r>
            <w:br/>
            <w:br/>
            <w:r>
              <w:rPr/>
              <w:t xml:space="preserve">ручная граната Ф-1 – 2 шт.,</w:t>
            </w:r>
            <w:br/>
            <w:br/>
            <w:r>
              <w:rPr/>
              <w:t xml:space="preserve">осколочная граната ВОГ-17 – 1 шт.,</w:t>
            </w:r>
            <w:br/>
            <w:br/>
            <w:r>
              <w:rPr/>
              <w:t xml:space="preserve">противопехотная мина ПМН-2 – 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225 670м2 (22,56 га) и всего обнаружено 203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2026-03-04T15:37:31+03:00</dcterms:created>
  <dcterms:modified xsi:type="dcterms:W3CDTF">2026-03-04T15:37:31+03:00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