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3 мая был совершен марш в район выполнениязадач, произведено оборудование административной зоны местапроведения пиротехнических работ, проведен инструктаж личногосостава отряда и выполнены мероприятия по очистке местности отвзрывоопасных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применением БАС обследована территория общей площадью 15 000 м2</w:t>
            </w:r>
            <w:br/>
            <w:br/>
            <w:r>
              <w:rPr/>
              <w:t xml:space="preserve">(1,5 га);</w:t>
            </w:r>
            <w:br/>
            <w:br/>
            <w:r>
              <w:rPr/>
              <w:t xml:space="preserve">применением РТС DOK ING MV-4 проведена механическая очисткаместности для работы групп ручной очистки общей площадью 1000 м2(0,1 га);</w:t>
            </w:r>
            <w:br/>
            <w:br/>
            <w:r>
              <w:rPr/>
              <w:t xml:space="preserve">применением пиротехнической группы проведена очистка местностиобщей площадью 3820 м2 (0,38 га), обнаружено и обезврежено 4взрывоопасных предмета (3 артиллерийский снаряда 30 мм, 1электродетонатор ЭДПР).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2026-06-05T12:41:06+03:00</dcterms:created>
  <dcterms:modified xsi:type="dcterms:W3CDTF">2026-06-05T12:41:06+03:00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