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прибыл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прибыл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29апреля личный состав отряда приступил к выполнению задач поочистке местности от взрывоопасных предметов вРеспублике Южная Осетия.</w:t>
            </w:r>
            <w:br/>
            <w:br/>
            <w:r>
              <w:rPr/>
              <w:t xml:space="preserve">Совершен марш в район выполнения задач, произведено оборудованиеадминистративной зоны и участка выполнения работ, при подготовкеподъездных путей осуществлена расчистка дороги от растительностипротяженностью 500 м.</w:t>
            </w:r>
            <w:br/>
            <w:br/>
            <w:r>
              <w:rPr/>
              <w:t xml:space="preserve">С применением БАС обследована территория общей площадью 20 000 м2(2,0 га);</w:t>
            </w:r>
            <w:br/>
            <w:br/>
            <w:r>
              <w:rPr/>
              <w:t xml:space="preserve">Группой ручного разминирования проверена территория вадминистративной зоне и полосе доступа общей площадью 800 м2 (0,08га).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2026-06-05T14:07:36+03:00</dcterms:created>
  <dcterms:modified xsi:type="dcterms:W3CDTF">2026-06-05T14:07:36+03:00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