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сил Центра, предназначенных для ликвидациипоследствий возможных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сил Центра, предназначенных для ликвидации последствийвозможных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силреагирования Центра, предназначенных для ликвидации последствийвозможных ЧС, связанных с террористическими акциями с применениемотравляющих веществ введен режим функционирования «ПОВЫШЕННАЯГОТОВНОСТЬ».</w:t>
            </w:r>
            <w:br/>
            <w:br/>
            <w:r>
              <w:rPr/>
              <w:t xml:space="preserve">35 человек и 7 единиц техники убыли в 282 ТрансильванскийКраснознаменный ордена Александра Невского учебный центр войск РХБзащиты. Старший – полковник А.Н. Кудяков.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2026-06-05T20:06:06+03:00</dcterms:created>
  <dcterms:modified xsi:type="dcterms:W3CDTF">2026-06-05T20:06:06+03:00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