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октябряпиротехнический расчет Центра привлекался для обезвреживаниявзрывоопасного предмета по адресу: г. Москва, ТиНАО, пос.Первомайское, деревня Кривошеино. В ходе выполнения работ былообезврежено 10 (десять) взрывоопасных предметов времен ВОВ:</w:t>
            </w:r>
            <w:br/>
            <w:br/>
            <w:r>
              <w:rPr/>
              <w:t xml:space="preserve">артиллерийский снаряд 122 мм - 1 шт.;</w:t>
            </w:r>
            <w:br/>
            <w:br/>
            <w:r>
              <w:rPr/>
              <w:t xml:space="preserve">артиллерийский снаряд 105 мм - 1 шт.;</w:t>
            </w:r>
            <w:br/>
            <w:br/>
            <w:r>
              <w:rPr/>
              <w:t xml:space="preserve">артиллерийский снаряд 76 мм - 6 шт.;</w:t>
            </w:r>
            <w:br/>
            <w:br/>
            <w:br/>
            <w:r>
              <w:rPr/>
              <w:t xml:space="preserve">минометная мина 107 мм - 1 шт.;</w:t>
            </w:r>
            <w:br/>
            <w:br/>
            <w:r>
              <w:rPr/>
              <w:t xml:space="preserve">авиационная бомба 2,5 кг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