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июлядежурная смена Центра "Лидер" несколько раз применялась попредназначению. Расчет радиационной и химической разведкиосуществил три выезда по г.Москве и Московской области. </w:t>
            </w:r>
            <w:br/>
            <w:br/>
            <w:r>
              <w:rPr/>
              <w:t xml:space="preserve">В г. Красногорске и Рузском районе МО расчетРХР проводил радиационный и химический мониторинг. В ходепроведения работ аварийно-химически опасных веществ в воздухе незафиксировано, радиационный фон в норме. Также в районе ЯсеневоЮго-западного административного округа г. Москвы специалистыЦентра замеряли концентрацию паров ртути.  Проведенадемеркуризация загрязненного участка, при повторном замерепревышение ПДК паров ртути не зафиксировано.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2026-06-07T02:31:34+03:00</dcterms:created>
  <dcterms:modified xsi:type="dcterms:W3CDTF">2026-06-07T02:31:34+03:00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