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 нештатными отделениями РХБразведки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 нештатными отделениями РХБ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с нештатными отделениями РХБ разведки.Цель - научить личный состав ведению радиационной, химической ибиологической разведки в различных условиях.</w:t>
            </w:r>
            <w:br/>
            <w:br/>
            <w:r>
              <w:rPr/>
              <w:t xml:space="preserve">Теоретические и практические занятия проводили майор АндрейКуленцан и майор Денис Осипов. Вопросы радиационной, химической ибиологической защиты являются одними из приоритетных направленийоперативно-служебной деятельности Центра и направлены на постоянноеизучение необходимых учебных дисциплин и отработку практическихнавыков.</w:t>
            </w:r>
            <w:br/>
            <w:br/>
            <w:r>
              <w:rPr/>
              <w:t xml:space="preserve">В ходе занятий личный состав изучил технические характеристикидыхательных аппаратов и костюмов изолирующего типа.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2026-04-11T03:56:28+03:00</dcterms:created>
  <dcterms:modified xsi:type="dcterms:W3CDTF">2026-04-11T03:56:28+03:00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