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личного состава 6 управления(медико-спасательного) при пожаре.</w:t>
            </w:r>
            <w:br/>
            <w:br/>
            <w:r>
              <w:rPr/>
              <w:t xml:space="preserve">Во время занятия была проведена проверка готовности пожарногорасчета базы (обеспечения) к выполнению задач по предназначению.Также предстояло выявить проблемные вопросы в областипротивопожарного состояния объектов Центра.</w:t>
            </w:r>
            <w:br/>
            <w:br/>
            <w:r>
              <w:rPr/>
              <w:t xml:space="preserve">Дана оценка готовности сил и средств дежурных смен Центра к работепо ликвидации пожаров в помещениях 6 управления(медико-спасательного), наличия подъездных путей и площадок дляустановки пожарно-спасательной техники, исправности вооруженияотделений, готовности их к применению, умений и навыков личногосостава в организации работы по локализации пожара.</w:t>
            </w:r>
            <w:br/>
            <w:br/>
            <w:r>
              <w:rPr/>
              <w:t xml:space="preserve">Данное занятие показало, что личный состав 6 управления(медико-спасательного) в случае пожара действует уверенно,дежурные службы Центра прибыли своевременно и действовалислаженно.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2026-04-10T23:29:02+03:00</dcterms:created>
  <dcterms:modified xsi:type="dcterms:W3CDTF">2026-04-10T23:29:02+03:00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