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СпециалистыРХБ защиты продолжают на практике отрабатывать действиягазоспасателей.</w:t>
            </w:r>
            <w:br/>
            <w:br/>
            <w:r>
              <w:rPr/>
              <w:t xml:space="preserve">15 марта, в рамках полевого выхода Управления радиационной,химической и биологической защиты Центра «Лидер» состоялисьзанятия на базе Академии гражданской защиты МЧС России.</w:t>
            </w:r>
            <w:br/>
            <w:br/>
            <w:r>
              <w:rPr/>
              <w:t xml:space="preserve">Обучение проходило на территории многофункциональногогазодымозащитного комплекса.</w:t>
            </w:r>
            <w:br/>
            <w:br/>
            <w:r>
              <w:rPr/>
              <w:t xml:space="preserve">Перед проведением газоспасательных работ обязательно производитсямедицинский осмотр личного состава. Далее специалисты экипируются ивыдвигаются к месту обнаружения условных пострадавших. Выдвижениегазоспасательного отделения проходит в непростых условиях, так каксам учебный комплекс представляет собой лабиринт.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2026-06-08T01:15:20+03:00</dcterms:created>
  <dcterms:modified xsi:type="dcterms:W3CDTF">2026-06-08T01:15:20+03:00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