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продолжил проведение поисковых работ в районе авиакатастрофы. Входе проведения работ личным составом АМГ Центра выполненыследующие мероприятия:</w:t>
            </w:r>
            <w:br/>
            <w:br/>
            <w:r>
              <w:rPr/>
              <w:t xml:space="preserve">- повторно обследована территория общей площадью 8 га (нарастающимитогом 15,84 га);</w:t>
            </w:r>
            <w:br/>
            <w:br/>
            <w:r>
              <w:rPr/>
              <w:t xml:space="preserve">- обнаружено и передано сотрудникам СКР 492 фрагментов тел погибших(нарастающим итогом 971 фрагмент тел погибших);</w:t>
            </w:r>
            <w:br/>
            <w:br/>
            <w:r>
              <w:rPr/>
              <w:t xml:space="preserve">- обнаружено и доставлено к месту сбора 553 фрагмента фюзеляжа(нарастающим итогом 755 фрагментов фюзеляжа);</w:t>
            </w:r>
            <w:br/>
            <w:br/>
            <w:r>
              <w:rPr/>
              <w:t xml:space="preserve">- погружено на транспорт для дальнейшей транспортировки к меступроведения следственных мероприятий 678 обломков фюзеляжа;</w:t>
            </w:r>
            <w:br/>
            <w:br/>
            <w:r>
              <w:rPr/>
              <w:t xml:space="preserve">- осуществлена транспортировка 1943 фрагментов тел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12 га (нараставшим итогом 55 га), наработка БАСсоставила – 1 час 21 минута (нараставшим итогом 3 часа 4минуты).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2026-04-10T04:43:12+03:00</dcterms:created>
  <dcterms:modified xsi:type="dcterms:W3CDTF">2026-04-10T04:43:12+03:00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