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Показной парково-хозяйственный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13.01.201814:01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Показной парково-хозяйственный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января вЦентре был проведен показной парково-хозяйственныйдень. Темой занятий было планирование и проведениепарково-хозяйственных дней в спасательных воинскихформированиях.</w:t>
            </w:r>
            <w:br/>
            <w:br/>
            <w:r>
              <w:rPr/>
              <w:t xml:space="preserve">Во время мероприятия на учебных точках для личного составадоведены:</w:t>
            </w:r>
            <w:br/>
            <w:br/>
            <w:r>
              <w:rPr/>
              <w:t xml:space="preserve">- порядок действий должностных лиц, ответственных за организацию ипроведение парково-хозяйственных дней;</w:t>
            </w:r>
            <w:br/>
            <w:br/>
            <w:r>
              <w:rPr/>
              <w:t xml:space="preserve">- обязанности должностных лиц при организациипарково-хозяйственного дня;</w:t>
            </w:r>
            <w:br/>
            <w:br/>
            <w:r>
              <w:rPr/>
              <w:t xml:space="preserve">- распорядок работы в автопарке на период проведенияпарково-хозяйственного дня (ПХД).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2026-06-08T08:11:30+03:00</dcterms:created>
  <dcterms:modified xsi:type="dcterms:W3CDTF">2026-06-08T08:11:30+03:00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