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Пиротехнические работы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Пиротехнические работы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 в двух регионах нашейстраны.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 Ежедневно 20 специалистов Центра проводятработы, сопряженные с особой степенью риска. Почти за три неделиработ специалисты «Лидера» обследовали около 18,22 га земли,обнаружили и обезвредили 247 ВОП.</w:t>
            </w:r>
            <w:br/>
            <w:br/>
            <w:r>
              <w:rPr/>
              <w:t xml:space="preserve">На завершающем этапе работы по расчистке русла реки Баксан вКабардино-Балкарии, которые проводят спасатели «Лидера» дляскорейшего восстановления разрушенной дороги после схода сели. Завчерашний день специалисты Центра провели поисково-спасательныеработы, обследовав 16 км береговой линии р. Баксан, обеспечилибезопасность на восстановленном участке дороги, осуществилиподготовку к разрушению валуна в русле р. Герхожансу сиспользованием системы алмазного в бурения Hilti. С нарастающимитогом произведено 16 подрывов общей массой зарядов 830 – кг.тротила и обследовано 30 километров береговой линии рекиБаксан.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